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918B" w14:textId="36368957" w:rsidR="006500BA" w:rsidRPr="006500BA" w:rsidRDefault="006500BA" w:rsidP="006500BA">
      <w:pPr>
        <w:jc w:val="center"/>
        <w:rPr>
          <w:rFonts w:ascii="-webkit-standard" w:hAnsi="-webkit-standard"/>
          <w:b/>
          <w:bCs/>
          <w:color w:val="000000"/>
          <w:sz w:val="27"/>
          <w:szCs w:val="27"/>
        </w:rPr>
      </w:pPr>
      <w:r w:rsidRPr="006500BA">
        <w:rPr>
          <w:rFonts w:ascii="-webkit-standard" w:hAnsi="-webkit-standard"/>
          <w:b/>
          <w:bCs/>
          <w:color w:val="000000"/>
          <w:sz w:val="27"/>
          <w:szCs w:val="27"/>
        </w:rPr>
        <w:t>Malaria, Mummies, and Molecular Signatures</w:t>
      </w:r>
    </w:p>
    <w:p w14:paraId="44D62FAB" w14:textId="77777777" w:rsidR="006500BA" w:rsidRDefault="006500BA" w:rsidP="006500BA">
      <w:pPr>
        <w:jc w:val="center"/>
        <w:rPr>
          <w:rFonts w:ascii="-webkit-standard" w:hAnsi="-webkit-standard"/>
          <w:b/>
          <w:bCs/>
          <w:color w:val="000000"/>
          <w:sz w:val="27"/>
          <w:szCs w:val="27"/>
        </w:rPr>
      </w:pPr>
    </w:p>
    <w:p w14:paraId="7E117F79" w14:textId="40AC9184" w:rsidR="006500BA" w:rsidRDefault="006500BA" w:rsidP="006500BA">
      <w:pPr>
        <w:jc w:val="center"/>
        <w:rPr>
          <w:rFonts w:ascii="-webkit-standard" w:hAnsi="-webkit-standard"/>
          <w:b/>
          <w:bCs/>
          <w:color w:val="000000"/>
          <w:sz w:val="27"/>
          <w:szCs w:val="27"/>
        </w:rPr>
      </w:pPr>
      <w:r>
        <w:rPr>
          <w:rFonts w:ascii="-webkit-standard" w:hAnsi="-webkit-standard"/>
          <w:b/>
          <w:bCs/>
          <w:color w:val="000000"/>
          <w:sz w:val="27"/>
          <w:szCs w:val="27"/>
        </w:rPr>
        <w:t>Prof. Bayden R. Wood (Monash University)</w:t>
      </w:r>
    </w:p>
    <w:p w14:paraId="55D151BD" w14:textId="77777777" w:rsidR="006500BA" w:rsidRDefault="006500BA" w:rsidP="006500BA">
      <w:pPr>
        <w:jc w:val="center"/>
        <w:rPr>
          <w:rFonts w:ascii="-webkit-standard" w:hAnsi="-webkit-standard"/>
          <w:b/>
          <w:bCs/>
          <w:color w:val="000000"/>
          <w:sz w:val="27"/>
          <w:szCs w:val="27"/>
        </w:rPr>
      </w:pPr>
    </w:p>
    <w:p w14:paraId="6AF7A2F1" w14:textId="77777777" w:rsidR="006500BA" w:rsidRDefault="006500BA" w:rsidP="006500BA">
      <w:pPr>
        <w:pStyle w:val="NormalWeb"/>
        <w:rPr>
          <w:color w:val="000000"/>
        </w:rPr>
      </w:pPr>
      <w:r>
        <w:rPr>
          <w:rStyle w:val="Strong"/>
          <w:rFonts w:eastAsiaTheme="majorEastAsia"/>
          <w:color w:val="000000"/>
        </w:rPr>
        <w:t>Abstract</w:t>
      </w:r>
    </w:p>
    <w:p w14:paraId="3932F62E" w14:textId="77777777" w:rsidR="006500BA" w:rsidRDefault="006500BA" w:rsidP="006500BA">
      <w:pPr>
        <w:pStyle w:val="NormalWeb"/>
        <w:rPr>
          <w:color w:val="000000"/>
        </w:rPr>
      </w:pPr>
      <w:r>
        <w:rPr>
          <w:color w:val="000000"/>
        </w:rPr>
        <w:t>Spectroscopy offers a unique bridge between the life sciences and the archaeological record, enabling molecular</w:t>
      </w:r>
      <w:r>
        <w:rPr>
          <w:color w:val="000000"/>
        </w:rPr>
        <w:noBreakHyphen/>
        <w:t>level insights into both contemporary disease and ancient practices. In this talk, I will show how vibrational and chemical spectroscopies can be applied across radically different contexts to answer questions of diagnosis, preservation, and pathology.</w:t>
      </w:r>
    </w:p>
    <w:p w14:paraId="731B1BA6" w14:textId="77777777" w:rsidR="006500BA" w:rsidRDefault="006500BA" w:rsidP="006500BA">
      <w:pPr>
        <w:pStyle w:val="NormalWeb"/>
        <w:rPr>
          <w:color w:val="000000"/>
        </w:rPr>
      </w:pPr>
      <w:r>
        <w:rPr>
          <w:color w:val="000000"/>
        </w:rPr>
        <w:t>In the first part, I will focus on a contemporary clinical application: the use of attenuated total reflectance (ATR) infrared spectroscopy for malaria diagnosis. I will describe a clinical trial conducted in Papua New Guinea evaluating ATR spectroscopy as a rapid, reagent</w:t>
      </w:r>
      <w:r>
        <w:rPr>
          <w:color w:val="000000"/>
        </w:rPr>
        <w:noBreakHyphen/>
        <w:t>free method for detecting malaria from small blood samples. By capturing disease</w:t>
      </w:r>
      <w:r>
        <w:rPr>
          <w:color w:val="000000"/>
        </w:rPr>
        <w:noBreakHyphen/>
        <w:t>associated biochemical fingerprints, this approach aims to complement or replace conventional diagnostics in resource</w:t>
      </w:r>
      <w:r>
        <w:rPr>
          <w:color w:val="000000"/>
        </w:rPr>
        <w:noBreakHyphen/>
        <w:t>limited settings.</w:t>
      </w:r>
    </w:p>
    <w:p w14:paraId="7200A072" w14:textId="77777777" w:rsidR="006500BA" w:rsidRDefault="006500BA" w:rsidP="006500BA">
      <w:pPr>
        <w:pStyle w:val="NormalWeb"/>
        <w:rPr>
          <w:color w:val="000000"/>
        </w:rPr>
      </w:pPr>
      <w:r>
        <w:rPr>
          <w:color w:val="000000"/>
        </w:rPr>
        <w:t>In the second part, I will turn to ancient biomaterials and present recent work on Egyptian mummification that uses multi</w:t>
      </w:r>
      <w:r>
        <w:rPr>
          <w:color w:val="000000"/>
        </w:rPr>
        <w:noBreakHyphen/>
        <w:t>modal spectroscopy and chemical imaging to reconstruct embalming practices directly from preserved tissue. By combining infrared spectroscopy, chromatography, and synchrotron</w:t>
      </w:r>
      <w:r>
        <w:rPr>
          <w:color w:val="000000"/>
        </w:rPr>
        <w:noBreakHyphen/>
        <w:t>based X</w:t>
      </w:r>
      <w:r>
        <w:rPr>
          <w:color w:val="000000"/>
        </w:rPr>
        <w:noBreakHyphen/>
        <w:t>ray techniques, we demonstrate that a first</w:t>
      </w:r>
      <w:r>
        <w:rPr>
          <w:color w:val="000000"/>
        </w:rPr>
        <w:noBreakHyphen/>
        <w:t xml:space="preserve">century child mummy was treated with engineered liquid salt preparations rather than dry mineral packing. Elemental mapping reveals stratified penetration of calcium, sulphur, potassium, and chlorine into the dermis, while synchrotron powder diffraction identifies </w:t>
      </w:r>
      <w:proofErr w:type="spellStart"/>
      <w:r>
        <w:rPr>
          <w:color w:val="000000"/>
        </w:rPr>
        <w:t>syngenite</w:t>
      </w:r>
      <w:proofErr w:type="spellEnd"/>
      <w:r>
        <w:rPr>
          <w:color w:val="000000"/>
        </w:rPr>
        <w:t xml:space="preserve"> as a diagnostic marker of aqueous calcium–potassium sulphate systems. These results provide direct chemical evidence for sophisticated embalming recipes and establish a transferable analytical framework for reassessing mummification technologies across time and place.</w:t>
      </w:r>
    </w:p>
    <w:p w14:paraId="1D181A0C" w14:textId="77777777" w:rsidR="006500BA" w:rsidRDefault="006500BA" w:rsidP="006500BA">
      <w:pPr>
        <w:pStyle w:val="NormalWeb"/>
        <w:rPr>
          <w:color w:val="000000"/>
        </w:rPr>
      </w:pPr>
      <w:r>
        <w:rPr>
          <w:color w:val="000000"/>
        </w:rPr>
        <w:t>Together, these case studies illustrate how spectroscopy can illuminate both modern global health challenges and ancient technologies, underscoring its power as a unifying analytical tool across disciplines.</w:t>
      </w:r>
    </w:p>
    <w:p w14:paraId="6F15F16B" w14:textId="77777777" w:rsidR="006500BA" w:rsidRPr="006500BA" w:rsidRDefault="006500BA" w:rsidP="006500BA">
      <w:pPr>
        <w:jc w:val="center"/>
        <w:rPr>
          <w:b/>
          <w:bCs/>
        </w:rPr>
      </w:pPr>
    </w:p>
    <w:sectPr w:rsidR="006500BA" w:rsidRPr="006500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BA"/>
    <w:rsid w:val="000000E8"/>
    <w:rsid w:val="0000357E"/>
    <w:rsid w:val="0001106F"/>
    <w:rsid w:val="0002701A"/>
    <w:rsid w:val="00036A59"/>
    <w:rsid w:val="00047A81"/>
    <w:rsid w:val="00047CDB"/>
    <w:rsid w:val="00047F10"/>
    <w:rsid w:val="00052FA7"/>
    <w:rsid w:val="0005609B"/>
    <w:rsid w:val="000675DC"/>
    <w:rsid w:val="00073DFD"/>
    <w:rsid w:val="00093A7F"/>
    <w:rsid w:val="000A0078"/>
    <w:rsid w:val="000A4C11"/>
    <w:rsid w:val="000C0938"/>
    <w:rsid w:val="000C350B"/>
    <w:rsid w:val="000F243F"/>
    <w:rsid w:val="00105231"/>
    <w:rsid w:val="0011627C"/>
    <w:rsid w:val="001263B4"/>
    <w:rsid w:val="0013685F"/>
    <w:rsid w:val="0014217C"/>
    <w:rsid w:val="0014304A"/>
    <w:rsid w:val="00143DA8"/>
    <w:rsid w:val="001602CC"/>
    <w:rsid w:val="00175F88"/>
    <w:rsid w:val="00184CE4"/>
    <w:rsid w:val="00193A81"/>
    <w:rsid w:val="001A2959"/>
    <w:rsid w:val="001A31D2"/>
    <w:rsid w:val="001C351A"/>
    <w:rsid w:val="001C533C"/>
    <w:rsid w:val="001D686A"/>
    <w:rsid w:val="001E1A55"/>
    <w:rsid w:val="001E5F2C"/>
    <w:rsid w:val="001E646D"/>
    <w:rsid w:val="001F3499"/>
    <w:rsid w:val="002115D2"/>
    <w:rsid w:val="00213F2B"/>
    <w:rsid w:val="00220B89"/>
    <w:rsid w:val="00222349"/>
    <w:rsid w:val="00223356"/>
    <w:rsid w:val="002353C9"/>
    <w:rsid w:val="00244951"/>
    <w:rsid w:val="00253AEC"/>
    <w:rsid w:val="00262D8C"/>
    <w:rsid w:val="002637AC"/>
    <w:rsid w:val="00275A3E"/>
    <w:rsid w:val="002765C9"/>
    <w:rsid w:val="0028319E"/>
    <w:rsid w:val="002C6FDB"/>
    <w:rsid w:val="002D1DF7"/>
    <w:rsid w:val="002D48D2"/>
    <w:rsid w:val="00304B3B"/>
    <w:rsid w:val="00305A8E"/>
    <w:rsid w:val="00310323"/>
    <w:rsid w:val="00332EEB"/>
    <w:rsid w:val="0033524A"/>
    <w:rsid w:val="00337D56"/>
    <w:rsid w:val="0034168E"/>
    <w:rsid w:val="00354CB7"/>
    <w:rsid w:val="00370767"/>
    <w:rsid w:val="0037374B"/>
    <w:rsid w:val="00375EE3"/>
    <w:rsid w:val="0038323F"/>
    <w:rsid w:val="00390FD9"/>
    <w:rsid w:val="00394505"/>
    <w:rsid w:val="003A051A"/>
    <w:rsid w:val="003A22B2"/>
    <w:rsid w:val="003A3FFE"/>
    <w:rsid w:val="003B14A3"/>
    <w:rsid w:val="003C3D16"/>
    <w:rsid w:val="003D09B7"/>
    <w:rsid w:val="003D2258"/>
    <w:rsid w:val="003E041B"/>
    <w:rsid w:val="003E185B"/>
    <w:rsid w:val="003E2AB0"/>
    <w:rsid w:val="003E3BC7"/>
    <w:rsid w:val="003E52B2"/>
    <w:rsid w:val="003F0703"/>
    <w:rsid w:val="00401A4E"/>
    <w:rsid w:val="00412605"/>
    <w:rsid w:val="0044132F"/>
    <w:rsid w:val="00470BD8"/>
    <w:rsid w:val="00485762"/>
    <w:rsid w:val="004930E3"/>
    <w:rsid w:val="004968F7"/>
    <w:rsid w:val="004A0719"/>
    <w:rsid w:val="004A241E"/>
    <w:rsid w:val="004A4AA5"/>
    <w:rsid w:val="004B0E1F"/>
    <w:rsid w:val="004B1AD1"/>
    <w:rsid w:val="004C29D4"/>
    <w:rsid w:val="004E563F"/>
    <w:rsid w:val="004F4108"/>
    <w:rsid w:val="004F4897"/>
    <w:rsid w:val="004F66CC"/>
    <w:rsid w:val="004F730E"/>
    <w:rsid w:val="00505915"/>
    <w:rsid w:val="0051516B"/>
    <w:rsid w:val="0051583F"/>
    <w:rsid w:val="00520FCD"/>
    <w:rsid w:val="005223FA"/>
    <w:rsid w:val="005247F9"/>
    <w:rsid w:val="005316D9"/>
    <w:rsid w:val="00534E6E"/>
    <w:rsid w:val="00541585"/>
    <w:rsid w:val="005611C4"/>
    <w:rsid w:val="00566B73"/>
    <w:rsid w:val="005847EC"/>
    <w:rsid w:val="00590D88"/>
    <w:rsid w:val="005A34EF"/>
    <w:rsid w:val="005B1AE3"/>
    <w:rsid w:val="005C4EB8"/>
    <w:rsid w:val="005C5958"/>
    <w:rsid w:val="005E3F81"/>
    <w:rsid w:val="005F1C13"/>
    <w:rsid w:val="005F4978"/>
    <w:rsid w:val="005F680C"/>
    <w:rsid w:val="005F79BA"/>
    <w:rsid w:val="00602C22"/>
    <w:rsid w:val="006144E2"/>
    <w:rsid w:val="006156FA"/>
    <w:rsid w:val="00625FC1"/>
    <w:rsid w:val="00633820"/>
    <w:rsid w:val="00646C25"/>
    <w:rsid w:val="006500BA"/>
    <w:rsid w:val="0065029C"/>
    <w:rsid w:val="00662826"/>
    <w:rsid w:val="00666E1E"/>
    <w:rsid w:val="006771EB"/>
    <w:rsid w:val="00680408"/>
    <w:rsid w:val="006B3D27"/>
    <w:rsid w:val="006B531C"/>
    <w:rsid w:val="006C27B7"/>
    <w:rsid w:val="006C2D7E"/>
    <w:rsid w:val="006D2410"/>
    <w:rsid w:val="006E3DE3"/>
    <w:rsid w:val="006E511C"/>
    <w:rsid w:val="00703E19"/>
    <w:rsid w:val="00710E75"/>
    <w:rsid w:val="007132A2"/>
    <w:rsid w:val="00714EE0"/>
    <w:rsid w:val="00716182"/>
    <w:rsid w:val="00716CF0"/>
    <w:rsid w:val="00717D5C"/>
    <w:rsid w:val="007313AE"/>
    <w:rsid w:val="00732AF4"/>
    <w:rsid w:val="007360E3"/>
    <w:rsid w:val="00741B35"/>
    <w:rsid w:val="00754F87"/>
    <w:rsid w:val="00757F50"/>
    <w:rsid w:val="00763513"/>
    <w:rsid w:val="00767254"/>
    <w:rsid w:val="00776620"/>
    <w:rsid w:val="00777924"/>
    <w:rsid w:val="00780608"/>
    <w:rsid w:val="007909BD"/>
    <w:rsid w:val="00791FA2"/>
    <w:rsid w:val="007A14A7"/>
    <w:rsid w:val="007B631F"/>
    <w:rsid w:val="007F6357"/>
    <w:rsid w:val="00800241"/>
    <w:rsid w:val="0080035F"/>
    <w:rsid w:val="00803069"/>
    <w:rsid w:val="00804641"/>
    <w:rsid w:val="0080780B"/>
    <w:rsid w:val="008103D3"/>
    <w:rsid w:val="00825CF4"/>
    <w:rsid w:val="0083130F"/>
    <w:rsid w:val="0083249E"/>
    <w:rsid w:val="008452C1"/>
    <w:rsid w:val="0084540D"/>
    <w:rsid w:val="00846AA7"/>
    <w:rsid w:val="008532F4"/>
    <w:rsid w:val="008535ED"/>
    <w:rsid w:val="00855BE3"/>
    <w:rsid w:val="00863940"/>
    <w:rsid w:val="0086680B"/>
    <w:rsid w:val="008936EE"/>
    <w:rsid w:val="008A13CA"/>
    <w:rsid w:val="008B1754"/>
    <w:rsid w:val="008B3A93"/>
    <w:rsid w:val="008C50D1"/>
    <w:rsid w:val="008D4024"/>
    <w:rsid w:val="008E5159"/>
    <w:rsid w:val="008E652A"/>
    <w:rsid w:val="008F2121"/>
    <w:rsid w:val="00903C15"/>
    <w:rsid w:val="00910E64"/>
    <w:rsid w:val="00912DE9"/>
    <w:rsid w:val="009163F8"/>
    <w:rsid w:val="00920D59"/>
    <w:rsid w:val="00930E71"/>
    <w:rsid w:val="0093402D"/>
    <w:rsid w:val="00943A30"/>
    <w:rsid w:val="00944256"/>
    <w:rsid w:val="00950BB9"/>
    <w:rsid w:val="00966648"/>
    <w:rsid w:val="00971021"/>
    <w:rsid w:val="009738F6"/>
    <w:rsid w:val="00983BBB"/>
    <w:rsid w:val="00985991"/>
    <w:rsid w:val="00986DE2"/>
    <w:rsid w:val="00992BBD"/>
    <w:rsid w:val="009C3404"/>
    <w:rsid w:val="009D1B04"/>
    <w:rsid w:val="009D1B47"/>
    <w:rsid w:val="009D1ED6"/>
    <w:rsid w:val="009D7598"/>
    <w:rsid w:val="009F53CF"/>
    <w:rsid w:val="009F6179"/>
    <w:rsid w:val="00A16FD5"/>
    <w:rsid w:val="00A33BBA"/>
    <w:rsid w:val="00A453EF"/>
    <w:rsid w:val="00A66B47"/>
    <w:rsid w:val="00A702CD"/>
    <w:rsid w:val="00A75245"/>
    <w:rsid w:val="00A770C0"/>
    <w:rsid w:val="00AA17D3"/>
    <w:rsid w:val="00AA38D2"/>
    <w:rsid w:val="00AA6632"/>
    <w:rsid w:val="00AA7C54"/>
    <w:rsid w:val="00AC0928"/>
    <w:rsid w:val="00AC53C4"/>
    <w:rsid w:val="00AD0134"/>
    <w:rsid w:val="00AD0687"/>
    <w:rsid w:val="00AD1A12"/>
    <w:rsid w:val="00AE4F5C"/>
    <w:rsid w:val="00AF11EB"/>
    <w:rsid w:val="00AF2960"/>
    <w:rsid w:val="00B02662"/>
    <w:rsid w:val="00B06BE6"/>
    <w:rsid w:val="00B1454C"/>
    <w:rsid w:val="00B17593"/>
    <w:rsid w:val="00B17958"/>
    <w:rsid w:val="00B32073"/>
    <w:rsid w:val="00B354CA"/>
    <w:rsid w:val="00B50A74"/>
    <w:rsid w:val="00B62344"/>
    <w:rsid w:val="00B64972"/>
    <w:rsid w:val="00B70B73"/>
    <w:rsid w:val="00B83DD4"/>
    <w:rsid w:val="00B856F1"/>
    <w:rsid w:val="00B953DB"/>
    <w:rsid w:val="00BA0207"/>
    <w:rsid w:val="00BA29E8"/>
    <w:rsid w:val="00BA67D1"/>
    <w:rsid w:val="00BA7F78"/>
    <w:rsid w:val="00BB00DF"/>
    <w:rsid w:val="00BB199A"/>
    <w:rsid w:val="00BB3C80"/>
    <w:rsid w:val="00BB69C9"/>
    <w:rsid w:val="00BC1F9C"/>
    <w:rsid w:val="00BC29D4"/>
    <w:rsid w:val="00BD5F1A"/>
    <w:rsid w:val="00BE11A5"/>
    <w:rsid w:val="00BF3973"/>
    <w:rsid w:val="00BF50E1"/>
    <w:rsid w:val="00C04270"/>
    <w:rsid w:val="00C17554"/>
    <w:rsid w:val="00C2586B"/>
    <w:rsid w:val="00C31775"/>
    <w:rsid w:val="00C3542C"/>
    <w:rsid w:val="00C37735"/>
    <w:rsid w:val="00C41718"/>
    <w:rsid w:val="00C53515"/>
    <w:rsid w:val="00C55187"/>
    <w:rsid w:val="00C607B0"/>
    <w:rsid w:val="00C60A8F"/>
    <w:rsid w:val="00C733C3"/>
    <w:rsid w:val="00C75059"/>
    <w:rsid w:val="00C8533C"/>
    <w:rsid w:val="00C96DA6"/>
    <w:rsid w:val="00CA6BCE"/>
    <w:rsid w:val="00CB0C5A"/>
    <w:rsid w:val="00CB1494"/>
    <w:rsid w:val="00CB360B"/>
    <w:rsid w:val="00CB367E"/>
    <w:rsid w:val="00CC32C2"/>
    <w:rsid w:val="00CD6B72"/>
    <w:rsid w:val="00CE0B52"/>
    <w:rsid w:val="00CE21A0"/>
    <w:rsid w:val="00CE257D"/>
    <w:rsid w:val="00CE3BE0"/>
    <w:rsid w:val="00CE6046"/>
    <w:rsid w:val="00D040A0"/>
    <w:rsid w:val="00D11014"/>
    <w:rsid w:val="00D14CDC"/>
    <w:rsid w:val="00D21A16"/>
    <w:rsid w:val="00D21AE7"/>
    <w:rsid w:val="00D25847"/>
    <w:rsid w:val="00D30F1B"/>
    <w:rsid w:val="00D31BEF"/>
    <w:rsid w:val="00D42DBF"/>
    <w:rsid w:val="00D45160"/>
    <w:rsid w:val="00D55C4F"/>
    <w:rsid w:val="00D72D49"/>
    <w:rsid w:val="00D74A85"/>
    <w:rsid w:val="00D8072E"/>
    <w:rsid w:val="00DA098C"/>
    <w:rsid w:val="00DA1C3E"/>
    <w:rsid w:val="00DB5E2E"/>
    <w:rsid w:val="00DB608A"/>
    <w:rsid w:val="00DC2CF2"/>
    <w:rsid w:val="00DC3A86"/>
    <w:rsid w:val="00DC4E3C"/>
    <w:rsid w:val="00DC6CE8"/>
    <w:rsid w:val="00DD5C8C"/>
    <w:rsid w:val="00DD64BC"/>
    <w:rsid w:val="00DE5064"/>
    <w:rsid w:val="00DE5C0E"/>
    <w:rsid w:val="00DE5C66"/>
    <w:rsid w:val="00DF2F5A"/>
    <w:rsid w:val="00E03051"/>
    <w:rsid w:val="00E047E5"/>
    <w:rsid w:val="00E266AA"/>
    <w:rsid w:val="00E277A5"/>
    <w:rsid w:val="00E27E5D"/>
    <w:rsid w:val="00E31EDE"/>
    <w:rsid w:val="00E37E2A"/>
    <w:rsid w:val="00E42727"/>
    <w:rsid w:val="00E42EE5"/>
    <w:rsid w:val="00E52DBA"/>
    <w:rsid w:val="00E63DA6"/>
    <w:rsid w:val="00E64696"/>
    <w:rsid w:val="00E73960"/>
    <w:rsid w:val="00E80632"/>
    <w:rsid w:val="00E96F41"/>
    <w:rsid w:val="00EA1723"/>
    <w:rsid w:val="00EA6E0E"/>
    <w:rsid w:val="00EB0BC9"/>
    <w:rsid w:val="00EC1127"/>
    <w:rsid w:val="00EE2CCF"/>
    <w:rsid w:val="00F07FD5"/>
    <w:rsid w:val="00F12D39"/>
    <w:rsid w:val="00F2311C"/>
    <w:rsid w:val="00F33B59"/>
    <w:rsid w:val="00F42FB7"/>
    <w:rsid w:val="00F5029E"/>
    <w:rsid w:val="00F715D8"/>
    <w:rsid w:val="00F736DF"/>
    <w:rsid w:val="00F77663"/>
    <w:rsid w:val="00F87AB9"/>
    <w:rsid w:val="00F92898"/>
    <w:rsid w:val="00F939F6"/>
    <w:rsid w:val="00F964E4"/>
    <w:rsid w:val="00FA7F06"/>
    <w:rsid w:val="00FB1D50"/>
    <w:rsid w:val="00FD5404"/>
    <w:rsid w:val="00FE01D8"/>
    <w:rsid w:val="00FE0584"/>
    <w:rsid w:val="00FE35A3"/>
    <w:rsid w:val="00FE5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405E050"/>
  <w15:chartTrackingRefBased/>
  <w15:docId w15:val="{B3A80016-7963-E94F-8D17-FD697C7B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0BA"/>
    <w:rPr>
      <w:rFonts w:eastAsiaTheme="majorEastAsia" w:cstheme="majorBidi"/>
      <w:color w:val="272727" w:themeColor="text1" w:themeTint="D8"/>
    </w:rPr>
  </w:style>
  <w:style w:type="paragraph" w:styleId="Title">
    <w:name w:val="Title"/>
    <w:basedOn w:val="Normal"/>
    <w:next w:val="Normal"/>
    <w:link w:val="TitleChar"/>
    <w:uiPriority w:val="10"/>
    <w:qFormat/>
    <w:rsid w:val="006500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0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0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00BA"/>
    <w:rPr>
      <w:i/>
      <w:iCs/>
      <w:color w:val="404040" w:themeColor="text1" w:themeTint="BF"/>
    </w:rPr>
  </w:style>
  <w:style w:type="paragraph" w:styleId="ListParagraph">
    <w:name w:val="List Paragraph"/>
    <w:basedOn w:val="Normal"/>
    <w:uiPriority w:val="34"/>
    <w:qFormat/>
    <w:rsid w:val="006500BA"/>
    <w:pPr>
      <w:ind w:left="720"/>
      <w:contextualSpacing/>
    </w:pPr>
  </w:style>
  <w:style w:type="character" w:styleId="IntenseEmphasis">
    <w:name w:val="Intense Emphasis"/>
    <w:basedOn w:val="DefaultParagraphFont"/>
    <w:uiPriority w:val="21"/>
    <w:qFormat/>
    <w:rsid w:val="006500BA"/>
    <w:rPr>
      <w:i/>
      <w:iCs/>
      <w:color w:val="0F4761" w:themeColor="accent1" w:themeShade="BF"/>
    </w:rPr>
  </w:style>
  <w:style w:type="paragraph" w:styleId="IntenseQuote">
    <w:name w:val="Intense Quote"/>
    <w:basedOn w:val="Normal"/>
    <w:next w:val="Normal"/>
    <w:link w:val="IntenseQuoteChar"/>
    <w:uiPriority w:val="30"/>
    <w:qFormat/>
    <w:rsid w:val="00650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0BA"/>
    <w:rPr>
      <w:i/>
      <w:iCs/>
      <w:color w:val="0F4761" w:themeColor="accent1" w:themeShade="BF"/>
    </w:rPr>
  </w:style>
  <w:style w:type="character" w:styleId="IntenseReference">
    <w:name w:val="Intense Reference"/>
    <w:basedOn w:val="DefaultParagraphFont"/>
    <w:uiPriority w:val="32"/>
    <w:qFormat/>
    <w:rsid w:val="006500BA"/>
    <w:rPr>
      <w:b/>
      <w:bCs/>
      <w:smallCaps/>
      <w:color w:val="0F4761" w:themeColor="accent1" w:themeShade="BF"/>
      <w:spacing w:val="5"/>
    </w:rPr>
  </w:style>
  <w:style w:type="paragraph" w:styleId="NormalWeb">
    <w:name w:val="Normal (Web)"/>
    <w:basedOn w:val="Normal"/>
    <w:uiPriority w:val="99"/>
    <w:semiHidden/>
    <w:unhideWhenUsed/>
    <w:rsid w:val="006500B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5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3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1767</Characters>
  <Application>Microsoft Office Word</Application>
  <DocSecurity>0</DocSecurity>
  <Lines>34</Lines>
  <Paragraphs>14</Paragraphs>
  <ScaleCrop>false</ScaleCrop>
  <Company>Monash University</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Bayden Wood</dc:creator>
  <cp:keywords/>
  <dc:description/>
  <cp:lastModifiedBy>Bayden Wood</cp:lastModifiedBy>
  <cp:revision>1</cp:revision>
  <dcterms:created xsi:type="dcterms:W3CDTF">2026-01-07T11:45:00Z</dcterms:created>
  <dcterms:modified xsi:type="dcterms:W3CDTF">2026-01-07T11:49:00Z</dcterms:modified>
</cp:coreProperties>
</file>